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D" w:rsidRPr="00617C9D" w:rsidRDefault="00617C9D" w:rsidP="00617C9D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  <w:t>MMFA-Produktklassen 1-3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MMFA-Klassen – aktualisierte Fassung, gültig ab 1/2018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Vereinbarung über die durch den MMFA abgedeckten Produktgruppen (wie in der gemeinsamen Sitzung der MMFA-Arbeitskreise Technik und Marktentwicklung in Düsseldorf am 16. November 2017 verabschiedet):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Schwimmend verlegte, mehrschichtig aufgebaute modulare Böden…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Klasse 1: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 Alle Produkte auf Holz-basiertem Träger (≥ 65 % Gehalt an Holzpartikeln/-fasern im Träger) mit Polymer-Auflage oder mit Kork-Auflage (Dicke Kork</w:t>
      </w:r>
      <w:r w:rsidR="00E73734">
        <w:rPr>
          <w:rFonts w:eastAsia="Times New Roman" w:cs="Arial"/>
          <w:color w:val="2D2D2D"/>
          <w:sz w:val="24"/>
          <w:szCs w:val="24"/>
          <w:lang w:eastAsia="de-DE"/>
        </w:rPr>
        <w:t>:</w:t>
      </w:r>
      <w:bookmarkStart w:id="0" w:name="_GoBack"/>
      <w:bookmarkEnd w:id="0"/>
      <w:r w:rsidRPr="00617C9D">
        <w:rPr>
          <w:rFonts w:eastAsia="Times New Roman" w:cs="Arial"/>
          <w:color w:val="2D2D2D"/>
          <w:sz w:val="24"/>
          <w:szCs w:val="24"/>
          <w:lang w:eastAsia="de-DE"/>
        </w:rPr>
        <w:t xml:space="preserve"> </w:t>
      </w:r>
      <w:r w:rsidR="008847EA">
        <w:rPr>
          <w:rFonts w:eastAsia="Times New Roman" w:cs="Arial"/>
          <w:color w:val="2D2D2D"/>
          <w:sz w:val="24"/>
          <w:szCs w:val="24"/>
          <w:lang w:eastAsia="de-DE"/>
        </w:rPr>
        <w:t>weniger als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 xml:space="preserve"> 2,5 mm).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Klasse 2: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 xml:space="preserve"> Substrate auf Polymer- oder </w:t>
      </w:r>
      <w:proofErr w:type="spellStart"/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Polymerkomposit</w:t>
      </w:r>
      <w:proofErr w:type="spellEnd"/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-Basis mit Polymerauflage und/oder Polymerlacksystem.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br/>
      </w:r>
      <w:r w:rsidRPr="00617C9D">
        <w:rPr>
          <w:rFonts w:eastAsia="Times New Roman" w:cs="Arial"/>
          <w:i/>
          <w:iCs/>
          <w:color w:val="2D2D2D"/>
          <w:sz w:val="24"/>
          <w:szCs w:val="24"/>
          <w:lang w:eastAsia="de-DE"/>
        </w:rPr>
        <w:t>Zwei Unterklassen: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br/>
      </w: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Klasse 2A: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 LVT-Klick-Produkte (gem. EN10582) – Heißgepresst und kalandriert.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br/>
      </w: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Klasse 2B: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 Alle anderen Polymer-Klick-Produkte (</w:t>
      </w:r>
      <w:r w:rsidR="008847EA">
        <w:rPr>
          <w:rFonts w:eastAsia="Times New Roman" w:cs="Arial"/>
          <w:color w:val="2D2D2D"/>
          <w:sz w:val="24"/>
          <w:szCs w:val="24"/>
          <w:lang w:eastAsia="de-DE"/>
        </w:rPr>
        <w:t xml:space="preserve">gem. </w:t>
      </w:r>
      <w:r w:rsidR="008847EA" w:rsidRPr="00617C9D">
        <w:rPr>
          <w:rFonts w:eastAsia="Times New Roman" w:cs="Arial"/>
          <w:color w:val="2D2D2D"/>
          <w:sz w:val="24"/>
          <w:szCs w:val="24"/>
          <w:lang w:eastAsia="de-DE"/>
        </w:rPr>
        <w:t>EN 16511</w:t>
      </w:r>
      <w:r w:rsidR="008847EA">
        <w:rPr>
          <w:rFonts w:eastAsia="Times New Roman" w:cs="Arial"/>
          <w:color w:val="2D2D2D"/>
          <w:sz w:val="24"/>
          <w:szCs w:val="24"/>
          <w:lang w:eastAsia="de-DE"/>
        </w:rPr>
        <w:t xml:space="preserve">) </w:t>
      </w:r>
      <w:r w:rsidR="008847EA" w:rsidRPr="00617C9D">
        <w:rPr>
          <w:rFonts w:eastAsia="Times New Roman" w:cs="Arial"/>
          <w:color w:val="2D2D2D"/>
          <w:sz w:val="24"/>
          <w:szCs w:val="24"/>
          <w:lang w:eastAsia="de-DE"/>
        </w:rPr>
        <w:t>–</w:t>
      </w:r>
      <w:r w:rsidR="008847EA">
        <w:rPr>
          <w:rFonts w:eastAsia="Times New Roman" w:cs="Arial"/>
          <w:color w:val="2D2D2D"/>
          <w:sz w:val="24"/>
          <w:szCs w:val="24"/>
          <w:lang w:eastAsia="de-DE"/>
        </w:rPr>
        <w:t xml:space="preserve"> 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 xml:space="preserve">EPC: </w:t>
      </w:r>
      <w:proofErr w:type="spellStart"/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Expanded</w:t>
      </w:r>
      <w:proofErr w:type="spellEnd"/>
      <w:r w:rsidRPr="00617C9D">
        <w:rPr>
          <w:rFonts w:eastAsia="Times New Roman" w:cs="Arial"/>
          <w:color w:val="2D2D2D"/>
          <w:sz w:val="24"/>
          <w:szCs w:val="24"/>
          <w:lang w:eastAsia="de-DE"/>
        </w:rPr>
        <w:t xml:space="preserve"> Polymer Core und SPC: Solid Polymer Core).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2D2D2D"/>
          <w:sz w:val="24"/>
          <w:szCs w:val="24"/>
          <w:lang w:eastAsia="de-DE"/>
        </w:rPr>
        <w:t>Klasse 3:</w:t>
      </w: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 Alle anderen Bodenaufbauten, die nicht unter Klasse 1 oder 2 oder externe Normen fallen.</w:t>
      </w:r>
    </w:p>
    <w:p w:rsidR="00617C9D" w:rsidRP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i/>
          <w:iCs/>
          <w:color w:val="2D2D2D"/>
          <w:sz w:val="24"/>
          <w:szCs w:val="24"/>
          <w:lang w:eastAsia="de-DE"/>
        </w:rPr>
        <w:t>Hinweis: Zur Produkt-Klasse 3 gehören beispielsweise Module mit Klicksystem und textiler Oberfläche oder solche auf mineralischem Trägermaterial. </w:t>
      </w:r>
    </w:p>
    <w:p w:rsidR="00617C9D" w:rsidRDefault="00617C9D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  <w:r w:rsidRPr="00617C9D">
        <w:rPr>
          <w:rFonts w:eastAsia="Times New Roman" w:cs="Arial"/>
          <w:color w:val="2D2D2D"/>
          <w:sz w:val="24"/>
          <w:szCs w:val="24"/>
          <w:lang w:eastAsia="de-DE"/>
        </w:rPr>
        <w:t>* Für die MMFA-Absatzstatistiken laut  Kartellrecht: Minimum von fünf meldenden Firmen erforderlich.</w:t>
      </w: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CD25A2" w:rsidRPr="00617C9D" w:rsidRDefault="00CD25A2" w:rsidP="00617C9D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eastAsia="de-DE"/>
        </w:rPr>
      </w:pPr>
    </w:p>
    <w:p w:rsidR="00617C9D" w:rsidRPr="00617C9D" w:rsidRDefault="00617C9D" w:rsidP="00617C9D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  <w:lastRenderedPageBreak/>
        <w:t>MMFA-Klasse 1: Beispiele für den Produktaufbau</w:t>
      </w:r>
    </w:p>
    <w:p w:rsidR="00617C9D" w:rsidRPr="00617C9D" w:rsidRDefault="00617C9D" w:rsidP="00617C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Klasse 1: Alle Produkte auf Holz-basiertem Träger (≥ 65 % Gehalt an Holzpartikeln/-fasern im Träger) mit Polymer-Auflage oder mit Kork-Auflage (Dicke Kork &lt; 2,5 mm).</w:t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1CDFBC86" wp14:editId="4E502D55">
            <wp:extent cx="4926842" cy="2673578"/>
            <wp:effectExtent l="0" t="0" r="7620" b="0"/>
            <wp:docPr id="11" name="Grafik 11" descr="http://mmfa.networkeratwork.de/wp-content/uploads/2018/01/Class1_DE-1_Fin-68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fa.networkeratwork.de/wp-content/uploads/2018/01/Class1_DE-1_Fin-680x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42" cy="2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74E7E8BF" wp14:editId="7FD8E38A">
            <wp:extent cx="5220269" cy="2778034"/>
            <wp:effectExtent l="0" t="0" r="0" b="3810"/>
            <wp:docPr id="10" name="Grafik 10" descr="http://mmfa.networkeratwork.de/wp-content/uploads/2018/01/Class1_DE-2_Fin-680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fa.networkeratwork.de/wp-content/uploads/2018/01/Class1_DE-2_Fin-680x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67" cy="27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3E9E2496" wp14:editId="53EE6748">
            <wp:extent cx="5221973" cy="2613547"/>
            <wp:effectExtent l="0" t="0" r="0" b="0"/>
            <wp:docPr id="9" name="Grafik 9" descr="http://mmfa.networkeratwork.de/wp-content/uploads/2018/01/Class1_DE-3_Fin-68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fa.networkeratwork.de/wp-content/uploads/2018/01/Class1_DE-3_Fin-680x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91" cy="26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9D" w:rsidRPr="00617C9D" w:rsidRDefault="00617C9D" w:rsidP="00617C9D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  <w:lastRenderedPageBreak/>
        <w:t>MMFA-Klasse 2A: Beispiele für den Produktaufbau</w:t>
      </w:r>
    </w:p>
    <w:p w:rsidR="00617C9D" w:rsidRPr="00617C9D" w:rsidRDefault="00617C9D" w:rsidP="00617C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 xml:space="preserve">Klasse 2: Substrate auf Polymer- oder </w:t>
      </w:r>
      <w:proofErr w:type="spellStart"/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Polymerkomposit</w:t>
      </w:r>
      <w:proofErr w:type="spellEnd"/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-Basis mit Polymerauflage und/oder Polymerlacksystem.</w:t>
      </w: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br/>
        <w:t>Unterklasse:</w:t>
      </w: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br/>
        <w:t>Klasse 2A: LVT-Klick-Produkte (gem. EN10582 und EN 16511) – Heißgepresst und kalandriert.</w:t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7BFD185C" wp14:editId="379C6E25">
            <wp:extent cx="5090615" cy="2515856"/>
            <wp:effectExtent l="0" t="0" r="0" b="0"/>
            <wp:docPr id="8" name="Grafik 8" descr="http://mmfa.networkeratwork.de/wp-content/uploads/2018/01/Class2A_DE-1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fa.networkeratwork.de/wp-content/uploads/2018/01/Class2A_DE-1_Fin-680x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15" cy="25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073A4A80" wp14:editId="6248C7CC">
            <wp:extent cx="4858603" cy="2401192"/>
            <wp:effectExtent l="0" t="0" r="0" b="0"/>
            <wp:docPr id="7" name="Grafik 7" descr="http://mmfa.networkeratwork.de/wp-content/uploads/2018/01/Class2A_DE-2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fa.networkeratwork.de/wp-content/uploads/2018/01/Class2A_DE-2_Fin-680x3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03" cy="24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1D25B8E6" wp14:editId="4B331696">
            <wp:extent cx="5295332" cy="2840308"/>
            <wp:effectExtent l="0" t="0" r="635" b="0"/>
            <wp:docPr id="6" name="Grafik 6" descr="http://mmfa.networkeratwork.de/wp-content/uploads/2018/01/Class2A_DE-3_Fin-680x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fa.networkeratwork.de/wp-content/uploads/2018/01/Class2A_DE-3_Fin-680x3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77" cy="28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9D" w:rsidRPr="00617C9D" w:rsidRDefault="00617C9D" w:rsidP="00617C9D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  <w:lastRenderedPageBreak/>
        <w:t>MMFA-Klasse 2B: Beispiele für den Produktaufbau</w:t>
      </w:r>
    </w:p>
    <w:p w:rsidR="00617C9D" w:rsidRPr="00617C9D" w:rsidRDefault="00617C9D" w:rsidP="00617C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 xml:space="preserve">Klasse 2: Substrate auf Polymer- oder </w:t>
      </w:r>
      <w:proofErr w:type="spellStart"/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Polymerkomposit</w:t>
      </w:r>
      <w:proofErr w:type="spellEnd"/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-Basis mit Polymerauflage und/oder Polymerlacksystem.</w:t>
      </w: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br/>
        <w:t>Unterklasse:</w:t>
      </w:r>
    </w:p>
    <w:p w:rsidR="00617C9D" w:rsidRPr="00617C9D" w:rsidRDefault="00617C9D" w:rsidP="00617C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Klasse 2B: Alle anderen Polymer-Klick-Produkte</w:t>
      </w: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br/>
        <w:t xml:space="preserve">(EPC: </w:t>
      </w:r>
      <w:proofErr w:type="spellStart"/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Expanded</w:t>
      </w:r>
      <w:proofErr w:type="spellEnd"/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 xml:space="preserve"> Polymer Core und SPC: Solid Polymer Core).</w:t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01F659D4" wp14:editId="62E0CB9E">
            <wp:extent cx="5177824" cy="2558956"/>
            <wp:effectExtent l="0" t="0" r="3810" b="0"/>
            <wp:docPr id="5" name="Grafik 5" descr="http://mmfa.networkeratwork.de/wp-content/uploads/2018/01/Class2B_DE-1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fa.networkeratwork.de/wp-content/uploads/2018/01/Class2B_DE-1_Fin-680x3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60" cy="25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64F04FAE" wp14:editId="722DAA8A">
            <wp:extent cx="4929286" cy="2436125"/>
            <wp:effectExtent l="0" t="0" r="5080" b="2540"/>
            <wp:docPr id="4" name="Grafik 4" descr="http://mmfa.networkeratwork.de/wp-content/uploads/2018/01/Class2B_DE-2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fa.networkeratwork.de/wp-content/uploads/2018/01/Class2B_DE-2_Fin-680x3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30" cy="243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5CF4524A" wp14:editId="2405B8C7">
            <wp:extent cx="4833729" cy="2511188"/>
            <wp:effectExtent l="0" t="0" r="5080" b="3810"/>
            <wp:docPr id="3" name="Grafik 3" descr="http://mmfa.networkeratwork.de/wp-content/uploads/2018/01/Class2B_DE-3_Fin-680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mfa.networkeratwork.de/wp-content/uploads/2018/01/Class2B_DE-3_Fin-680x3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11" cy="251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9D" w:rsidRPr="00617C9D" w:rsidRDefault="00617C9D" w:rsidP="00617C9D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kern w:val="36"/>
          <w:sz w:val="24"/>
          <w:szCs w:val="24"/>
          <w:lang w:eastAsia="de-DE"/>
        </w:rPr>
        <w:lastRenderedPageBreak/>
        <w:t>MMFA-Klasse 3: Beispiele für den Produktaufbau</w:t>
      </w:r>
    </w:p>
    <w:p w:rsidR="00617C9D" w:rsidRPr="00617C9D" w:rsidRDefault="00617C9D" w:rsidP="00617C9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4"/>
          <w:szCs w:val="24"/>
          <w:lang w:eastAsia="de-DE"/>
        </w:rPr>
      </w:pPr>
      <w:r w:rsidRPr="00617C9D">
        <w:rPr>
          <w:rFonts w:eastAsia="Times New Roman" w:cs="Arial"/>
          <w:b/>
          <w:bCs/>
          <w:color w:val="899E13"/>
          <w:sz w:val="24"/>
          <w:szCs w:val="24"/>
          <w:lang w:eastAsia="de-DE"/>
        </w:rPr>
        <w:t>Klasse 3: Alle anderen Bodenaufbauten, die nicht unter Klasse 1 oder 2 oder externe Normen fallen.</w:t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0A8E603F" wp14:editId="130EFBF9">
            <wp:extent cx="5158854" cy="2739788"/>
            <wp:effectExtent l="0" t="0" r="3810" b="3810"/>
            <wp:docPr id="2" name="Grafik 2" descr="http://mmfa.networkeratwork.de/wp-content/uploads/2018/01/Class3_DE-1_Fin-68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fa.networkeratwork.de/wp-content/uploads/2018/01/Class3_DE-1_Fin-680x3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31" cy="2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C9D">
        <w:rPr>
          <w:rFonts w:eastAsia="Times New Roman" w:cs="Arial"/>
          <w:b/>
          <w:bCs/>
          <w:noProof/>
          <w:color w:val="899E13"/>
          <w:sz w:val="24"/>
          <w:szCs w:val="24"/>
          <w:lang w:eastAsia="de-DE"/>
        </w:rPr>
        <w:drawing>
          <wp:inline distT="0" distB="0" distL="0" distR="0" wp14:anchorId="40E543F1" wp14:editId="366C4F24">
            <wp:extent cx="5233917" cy="2835081"/>
            <wp:effectExtent l="0" t="0" r="5080" b="3810"/>
            <wp:docPr id="1" name="Grafik 1" descr="http://mmfa.networkeratwork.de/wp-content/uploads/2018/01/Class3_DE-2_Fin-680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mfa.networkeratwork.de/wp-content/uploads/2018/01/Class3_DE-2_Fin-680x36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56" cy="28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E7" w:rsidRPr="00617C9D" w:rsidRDefault="00E81FE7">
      <w:pPr>
        <w:rPr>
          <w:sz w:val="24"/>
          <w:szCs w:val="24"/>
        </w:rPr>
      </w:pPr>
    </w:p>
    <w:sectPr w:rsidR="00E81FE7" w:rsidRPr="00617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D"/>
    <w:rsid w:val="00617C9D"/>
    <w:rsid w:val="008847EA"/>
    <w:rsid w:val="00A545D5"/>
    <w:rsid w:val="00CD25A2"/>
    <w:rsid w:val="00E73734"/>
    <w:rsid w:val="00E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7C9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7C9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17C9D"/>
    <w:rPr>
      <w:b/>
      <w:bCs/>
    </w:rPr>
  </w:style>
  <w:style w:type="character" w:styleId="Hervorhebung">
    <w:name w:val="Emphasis"/>
    <w:basedOn w:val="Absatz-Standardschriftart"/>
    <w:uiPriority w:val="20"/>
    <w:qFormat/>
    <w:rsid w:val="00617C9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17C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7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7C9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7C9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17C9D"/>
    <w:rPr>
      <w:b/>
      <w:bCs/>
    </w:rPr>
  </w:style>
  <w:style w:type="character" w:styleId="Hervorhebung">
    <w:name w:val="Emphasis"/>
    <w:basedOn w:val="Absatz-Standardschriftart"/>
    <w:uiPriority w:val="20"/>
    <w:qFormat/>
    <w:rsid w:val="00617C9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17C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6</cp:revision>
  <dcterms:created xsi:type="dcterms:W3CDTF">2018-01-11T07:14:00Z</dcterms:created>
  <dcterms:modified xsi:type="dcterms:W3CDTF">2018-06-12T13:42:00Z</dcterms:modified>
</cp:coreProperties>
</file>